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8305" w14:textId="7B34BB65" w:rsidR="00FA35AA" w:rsidRPr="00FA35AA" w:rsidRDefault="001B33B4" w:rsidP="00D90B91">
      <w:pPr>
        <w:rPr>
          <w:rFonts w:asciiTheme="majorHAnsi" w:hAnsiTheme="majorHAnsi" w:cstheme="majorHAnsi"/>
          <w:b/>
          <w:bCs/>
        </w:rPr>
      </w:pPr>
      <w:r w:rsidRPr="001B33B4">
        <w:rPr>
          <w:rFonts w:asciiTheme="majorHAnsi" w:hAnsiTheme="majorHAnsi" w:cstheme="majorHAnsi"/>
          <w:b/>
          <w:bCs/>
        </w:rPr>
        <w:drawing>
          <wp:anchor distT="0" distB="0" distL="114300" distR="114300" simplePos="0" relativeHeight="251658240" behindDoc="0" locked="0" layoutInCell="1" allowOverlap="1" wp14:anchorId="52AFEDDA" wp14:editId="1C0A9BB4">
            <wp:simplePos x="0" y="0"/>
            <wp:positionH relativeFrom="column">
              <wp:posOffset>20695</wp:posOffset>
            </wp:positionH>
            <wp:positionV relativeFrom="paragraph">
              <wp:posOffset>165697</wp:posOffset>
            </wp:positionV>
            <wp:extent cx="2049138" cy="594250"/>
            <wp:effectExtent l="0" t="0" r="0" b="317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38" cy="59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BA2CD" w14:textId="77777777" w:rsidR="001B33B4" w:rsidRDefault="001B33B4" w:rsidP="00FA35AA">
      <w:pPr>
        <w:jc w:val="center"/>
        <w:rPr>
          <w:rFonts w:asciiTheme="majorHAnsi" w:hAnsiTheme="majorHAnsi" w:cstheme="majorHAnsi"/>
          <w:b/>
          <w:bCs/>
        </w:rPr>
      </w:pPr>
    </w:p>
    <w:p w14:paraId="5221218D" w14:textId="77777777" w:rsidR="001B33B4" w:rsidRDefault="001B33B4" w:rsidP="00FA35AA">
      <w:pPr>
        <w:jc w:val="center"/>
        <w:rPr>
          <w:rFonts w:asciiTheme="majorHAnsi" w:hAnsiTheme="majorHAnsi" w:cstheme="majorHAnsi"/>
          <w:b/>
          <w:bCs/>
        </w:rPr>
      </w:pPr>
    </w:p>
    <w:p w14:paraId="441F18A9" w14:textId="5E041484" w:rsidR="00FA35AA" w:rsidRDefault="00FA35AA" w:rsidP="00FA35AA">
      <w:pPr>
        <w:jc w:val="center"/>
        <w:rPr>
          <w:rFonts w:asciiTheme="majorHAnsi" w:hAnsiTheme="majorHAnsi" w:cstheme="majorHAnsi"/>
          <w:b/>
          <w:bCs/>
        </w:rPr>
      </w:pPr>
      <w:r w:rsidRPr="00FA35AA">
        <w:rPr>
          <w:rFonts w:asciiTheme="majorHAnsi" w:hAnsiTheme="majorHAnsi" w:cstheme="majorHAnsi"/>
          <w:b/>
          <w:bCs/>
        </w:rPr>
        <w:t>ICS Equity Non</w:t>
      </w:r>
      <w:r w:rsidR="001B33B4">
        <w:rPr>
          <w:rFonts w:asciiTheme="majorHAnsi" w:hAnsiTheme="majorHAnsi" w:cstheme="majorHAnsi"/>
          <w:b/>
          <w:bCs/>
        </w:rPr>
        <w:t>-</w:t>
      </w:r>
      <w:r w:rsidRPr="00FA35AA">
        <w:rPr>
          <w:rFonts w:asciiTheme="majorHAnsi" w:hAnsiTheme="majorHAnsi" w:cstheme="majorHAnsi"/>
          <w:b/>
          <w:bCs/>
        </w:rPr>
        <w:t>Ne</w:t>
      </w:r>
      <w:r>
        <w:rPr>
          <w:rFonts w:asciiTheme="majorHAnsi" w:hAnsiTheme="majorHAnsi" w:cstheme="majorHAnsi"/>
          <w:b/>
          <w:bCs/>
        </w:rPr>
        <w:t>go</w:t>
      </w:r>
      <w:r w:rsidRPr="00FA35AA">
        <w:rPr>
          <w:rFonts w:asciiTheme="majorHAnsi" w:hAnsiTheme="majorHAnsi" w:cstheme="majorHAnsi"/>
          <w:b/>
          <w:bCs/>
        </w:rPr>
        <w:t xml:space="preserve">tiables </w:t>
      </w:r>
      <w:r w:rsidR="00C15A13">
        <w:rPr>
          <w:rFonts w:asciiTheme="majorHAnsi" w:hAnsiTheme="majorHAnsi" w:cstheme="majorHAnsi"/>
          <w:b/>
          <w:bCs/>
        </w:rPr>
        <w:t xml:space="preserve">School </w:t>
      </w:r>
      <w:r w:rsidRPr="00FA35AA">
        <w:rPr>
          <w:rFonts w:asciiTheme="majorHAnsi" w:hAnsiTheme="majorHAnsi" w:cstheme="majorHAnsi"/>
          <w:b/>
          <w:bCs/>
        </w:rPr>
        <w:t xml:space="preserve">Process </w:t>
      </w:r>
      <w:r w:rsidR="00A00FEF">
        <w:rPr>
          <w:rFonts w:asciiTheme="majorHAnsi" w:hAnsiTheme="majorHAnsi" w:cstheme="majorHAnsi"/>
          <w:b/>
          <w:bCs/>
        </w:rPr>
        <w:t>for Coaching</w:t>
      </w:r>
    </w:p>
    <w:p w14:paraId="3817F898" w14:textId="77777777" w:rsidR="00FA35AA" w:rsidRPr="00FA35AA" w:rsidRDefault="00FA35AA" w:rsidP="00FA35AA">
      <w:pPr>
        <w:jc w:val="center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7"/>
        <w:gridCol w:w="1561"/>
        <w:gridCol w:w="2453"/>
        <w:gridCol w:w="2213"/>
        <w:gridCol w:w="2633"/>
        <w:gridCol w:w="3357"/>
      </w:tblGrid>
      <w:tr w:rsidR="00A00FEF" w:rsidRPr="00655766" w14:paraId="3FE2D895" w14:textId="0A0548F6" w:rsidTr="00615830">
        <w:tc>
          <w:tcPr>
            <w:tcW w:w="578" w:type="pct"/>
            <w:shd w:val="clear" w:color="auto" w:fill="667B52"/>
          </w:tcPr>
          <w:p w14:paraId="168E8A67" w14:textId="148D93FA" w:rsidR="00A00FEF" w:rsidRPr="00F07693" w:rsidRDefault="00A00FEF" w:rsidP="00F0769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769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Problems with a Deficit Based System</w:t>
            </w:r>
          </w:p>
        </w:tc>
        <w:tc>
          <w:tcPr>
            <w:tcW w:w="565" w:type="pct"/>
            <w:shd w:val="clear" w:color="auto" w:fill="667B52"/>
          </w:tcPr>
          <w:p w14:paraId="756045A4" w14:textId="57F3217A" w:rsidR="00A00FEF" w:rsidRPr="00F07693" w:rsidRDefault="00A00FEF" w:rsidP="00F0769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769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ICS  Equity Non Negotiable</w:t>
            </w:r>
          </w:p>
        </w:tc>
        <w:tc>
          <w:tcPr>
            <w:tcW w:w="888" w:type="pct"/>
            <w:shd w:val="clear" w:color="auto" w:fill="667B52"/>
          </w:tcPr>
          <w:p w14:paraId="2346360C" w14:textId="387FACBD" w:rsidR="00A00FEF" w:rsidRPr="00F07693" w:rsidRDefault="00A00FEF" w:rsidP="00F0769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769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the Equity Non</w:t>
            </w:r>
            <w:r w:rsidR="001B33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Negotiables</w:t>
            </w:r>
            <w:r w:rsidRPr="00F0769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Mean </w:t>
            </w:r>
          </w:p>
        </w:tc>
        <w:tc>
          <w:tcPr>
            <w:tcW w:w="801" w:type="pct"/>
            <w:shd w:val="clear" w:color="auto" w:fill="667B52"/>
          </w:tcPr>
          <w:p w14:paraId="095C9593" w14:textId="0A9B814E" w:rsidR="00A00FEF" w:rsidRPr="00F07693" w:rsidRDefault="00A00FEF" w:rsidP="00F0769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Your District’s </w:t>
            </w:r>
            <w:r w:rsidRPr="00F0769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Equity Non-Negotiables</w:t>
            </w:r>
          </w:p>
        </w:tc>
        <w:tc>
          <w:tcPr>
            <w:tcW w:w="953" w:type="pct"/>
            <w:shd w:val="clear" w:color="auto" w:fill="667B52"/>
          </w:tcPr>
          <w:p w14:paraId="418C7BCA" w14:textId="66273924" w:rsidR="00A00FEF" w:rsidRPr="00F07693" w:rsidRDefault="00A00FEF" w:rsidP="00F0769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Delineate Examples of w</w:t>
            </w:r>
            <w:r w:rsidRPr="00F0769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hat each Equity Non</w:t>
            </w:r>
            <w:r w:rsidR="001B33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-</w:t>
            </w:r>
            <w:r w:rsidRPr="00F0769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Negotiable Means for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your School </w:t>
            </w:r>
          </w:p>
        </w:tc>
        <w:tc>
          <w:tcPr>
            <w:tcW w:w="1215" w:type="pct"/>
            <w:shd w:val="clear" w:color="auto" w:fill="667B52"/>
          </w:tcPr>
          <w:p w14:paraId="07CCA8D0" w14:textId="0802263C" w:rsidR="00A00FEF" w:rsidRPr="00F07693" w:rsidRDefault="00A00FEF" w:rsidP="00F0769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Delineate Examples of what each Equity Non</w:t>
            </w:r>
            <w:r w:rsidR="001B33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Negotiable Does Not Mean</w:t>
            </w:r>
          </w:p>
        </w:tc>
      </w:tr>
      <w:tr w:rsidR="00A00FEF" w:rsidRPr="00655766" w14:paraId="6FFF3419" w14:textId="5174E3D1" w:rsidTr="00A00FEF">
        <w:tc>
          <w:tcPr>
            <w:tcW w:w="578" w:type="pct"/>
            <w:shd w:val="clear" w:color="auto" w:fill="D0CECE" w:themeFill="background2" w:themeFillShade="E6"/>
          </w:tcPr>
          <w:p w14:paraId="71CF0DE4" w14:textId="7C51B390" w:rsidR="00A00FEF" w:rsidRPr="00655766" w:rsidRDefault="00A00FEF" w:rsidP="00655766">
            <w:pPr>
              <w:spacing w:before="100" w:beforeAutospacing="1" w:after="210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65576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1. Blames and labels the students and </w:t>
            </w:r>
            <w:r w:rsidRPr="004550EB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p</w:t>
            </w:r>
            <w:r w:rsidRPr="0065576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rovides less rigor.</w:t>
            </w:r>
          </w:p>
          <w:p w14:paraId="7C9B9E19" w14:textId="77777777" w:rsidR="00A00FEF" w:rsidRPr="004550EB" w:rsidRDefault="00A00FEF" w:rsidP="0065576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D0CECE" w:themeFill="background2" w:themeFillShade="E6"/>
          </w:tcPr>
          <w:p w14:paraId="790D1A57" w14:textId="78942527" w:rsidR="00A00FEF" w:rsidRPr="004550EB" w:rsidRDefault="00A00FEF" w:rsidP="0065576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5576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 1. Eliminating inequities begins with ourselves.</w:t>
            </w:r>
          </w:p>
        </w:tc>
        <w:tc>
          <w:tcPr>
            <w:tcW w:w="888" w:type="pct"/>
            <w:shd w:val="clear" w:color="auto" w:fill="E7E6E6" w:themeFill="background2"/>
          </w:tcPr>
          <w:p w14:paraId="6DAA4E77" w14:textId="36713D1C" w:rsidR="00A00FEF" w:rsidRPr="00655766" w:rsidRDefault="00A00FEF" w:rsidP="00184A7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55766">
              <w:rPr>
                <w:rFonts w:asciiTheme="majorHAnsi" w:hAnsiTheme="majorHAnsi" w:cstheme="majorHAnsi"/>
                <w:sz w:val="22"/>
                <w:szCs w:val="22"/>
              </w:rPr>
              <w:t xml:space="preserve">Any change in the system begins with our own understanding of how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educational </w:t>
            </w:r>
            <w:r w:rsidRPr="00655766">
              <w:rPr>
                <w:rFonts w:asciiTheme="majorHAnsi" w:hAnsiTheme="majorHAnsi" w:cstheme="majorHAnsi"/>
                <w:sz w:val="22"/>
                <w:szCs w:val="22"/>
              </w:rPr>
              <w:t xml:space="preserve">systems of oppression were created and perpetuated.  Thus,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educators participate in ongoing </w:t>
            </w:r>
            <w:r w:rsidRPr="00655766">
              <w:rPr>
                <w:rFonts w:asciiTheme="majorHAnsi" w:hAnsiTheme="majorHAnsi" w:cstheme="majorHAnsi"/>
                <w:sz w:val="22"/>
                <w:szCs w:val="22"/>
              </w:rPr>
              <w:t xml:space="preserve">learning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opportunities about their own </w:t>
            </w:r>
            <w:r w:rsidRPr="00655766">
              <w:rPr>
                <w:rFonts w:asciiTheme="majorHAnsi" w:hAnsiTheme="majorHAnsi" w:cstheme="majorHAnsi"/>
                <w:sz w:val="22"/>
                <w:szCs w:val="22"/>
              </w:rPr>
              <w:t xml:space="preserve">identity development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(and those of others) </w:t>
            </w:r>
            <w:r w:rsidRPr="00655766">
              <w:rPr>
                <w:rFonts w:asciiTheme="majorHAnsi" w:hAnsiTheme="majorHAnsi" w:cstheme="majorHAnsi"/>
                <w:sz w:val="22"/>
                <w:szCs w:val="22"/>
              </w:rPr>
              <w:t xml:space="preserve">through reading and participating in identity development work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assist in shifting from a deficit to asset based lens.</w:t>
            </w:r>
          </w:p>
        </w:tc>
        <w:tc>
          <w:tcPr>
            <w:tcW w:w="801" w:type="pct"/>
          </w:tcPr>
          <w:p w14:paraId="06B88627" w14:textId="35682D07" w:rsidR="00A00FEF" w:rsidRPr="00655766" w:rsidRDefault="00A00FEF" w:rsidP="00797AAB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pct"/>
          </w:tcPr>
          <w:p w14:paraId="505BD612" w14:textId="77777777" w:rsidR="00A00FEF" w:rsidRDefault="00A00FEF" w:rsidP="00FA35A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215" w:type="pct"/>
          </w:tcPr>
          <w:p w14:paraId="0C54A1DF" w14:textId="77777777" w:rsidR="00A00FEF" w:rsidRDefault="00A00FEF" w:rsidP="00FA35A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A00FEF" w:rsidRPr="00655766" w14:paraId="0C4B50DD" w14:textId="25D28C6E" w:rsidTr="00A00FEF">
        <w:tc>
          <w:tcPr>
            <w:tcW w:w="578" w:type="pct"/>
            <w:shd w:val="clear" w:color="auto" w:fill="D0CECE" w:themeFill="background2" w:themeFillShade="E6"/>
          </w:tcPr>
          <w:p w14:paraId="5B36E4D2" w14:textId="77777777" w:rsidR="00A00FEF" w:rsidRPr="00655766" w:rsidRDefault="00A00FEF" w:rsidP="00655766">
            <w:pPr>
              <w:spacing w:before="100" w:beforeAutospacing="1" w:after="210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65576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2. Tracks and marginalizes students of color, poverty, language, disability, and ability.</w:t>
            </w:r>
          </w:p>
          <w:p w14:paraId="325DE821" w14:textId="77777777" w:rsidR="00A00FEF" w:rsidRPr="004550EB" w:rsidRDefault="00A00FEF" w:rsidP="0065576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D0CECE" w:themeFill="background2" w:themeFillShade="E6"/>
          </w:tcPr>
          <w:p w14:paraId="579F1793" w14:textId="5BA6D8FA" w:rsidR="00A00FEF" w:rsidRPr="004550EB" w:rsidRDefault="00A00FEF" w:rsidP="0065576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5576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2. The system is responsible for student failure.</w:t>
            </w:r>
          </w:p>
        </w:tc>
        <w:tc>
          <w:tcPr>
            <w:tcW w:w="888" w:type="pct"/>
            <w:shd w:val="clear" w:color="auto" w:fill="E7E6E6" w:themeFill="background2"/>
          </w:tcPr>
          <w:p w14:paraId="0E8D11E9" w14:textId="3574695A" w:rsidR="00A00FEF" w:rsidRPr="00655766" w:rsidRDefault="00A00FEF" w:rsidP="00184A70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Based on the understanding that educational systems of oppression have been historically created – the Educators understand how such systems can perpetuate student failure.  Example, tracking and low ability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grouping, low expectations, clustered classrooms, etc.</w:t>
            </w:r>
          </w:p>
        </w:tc>
        <w:tc>
          <w:tcPr>
            <w:tcW w:w="801" w:type="pct"/>
          </w:tcPr>
          <w:p w14:paraId="0D583739" w14:textId="39911987" w:rsidR="00A00FEF" w:rsidRPr="00655766" w:rsidRDefault="00A00FEF" w:rsidP="00184A70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pct"/>
          </w:tcPr>
          <w:p w14:paraId="514B52C0" w14:textId="77777777" w:rsidR="00A00FEF" w:rsidRPr="00655766" w:rsidRDefault="00A00FEF" w:rsidP="00184A70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5" w:type="pct"/>
          </w:tcPr>
          <w:p w14:paraId="19621614" w14:textId="77777777" w:rsidR="00A00FEF" w:rsidRPr="00655766" w:rsidRDefault="00A00FEF" w:rsidP="00184A70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0FEF" w:rsidRPr="00655766" w14:paraId="589AD2F6" w14:textId="62F5C6FE" w:rsidTr="00A00FEF">
        <w:tc>
          <w:tcPr>
            <w:tcW w:w="578" w:type="pct"/>
            <w:shd w:val="clear" w:color="auto" w:fill="D0CECE" w:themeFill="background2" w:themeFillShade="E6"/>
          </w:tcPr>
          <w:p w14:paraId="41A9BFAC" w14:textId="3BD744CB" w:rsidR="00A00FEF" w:rsidRPr="004550EB" w:rsidRDefault="00A00FEF" w:rsidP="003C413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5576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3. Isolates students by ability – and limits access to high-quality instruction</w:t>
            </w:r>
          </w:p>
        </w:tc>
        <w:tc>
          <w:tcPr>
            <w:tcW w:w="565" w:type="pct"/>
            <w:shd w:val="clear" w:color="auto" w:fill="D0CECE" w:themeFill="background2" w:themeFillShade="E6"/>
          </w:tcPr>
          <w:p w14:paraId="4B8DE6D6" w14:textId="77777777" w:rsidR="00A00FEF" w:rsidRPr="00655766" w:rsidRDefault="00A00FEF" w:rsidP="003C4138">
            <w:pPr>
              <w:spacing w:before="100" w:beforeAutospacing="1" w:after="210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65576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3. All staff are aligned to Co-Plan to Co-Serve to Co-Learn Teams (C3) to support cohesive instruction.</w:t>
            </w:r>
          </w:p>
          <w:p w14:paraId="282AFFF4" w14:textId="1DDD6ECB" w:rsidR="00A00FEF" w:rsidRPr="004550EB" w:rsidRDefault="00A00FEF" w:rsidP="003C413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5576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88" w:type="pct"/>
            <w:shd w:val="clear" w:color="auto" w:fill="E7E6E6" w:themeFill="background2"/>
          </w:tcPr>
          <w:p w14:paraId="4C2FEC4E" w14:textId="320EDE77" w:rsidR="00A00FEF" w:rsidRPr="00655766" w:rsidRDefault="00A00FEF" w:rsidP="003C4138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Educators supports the move from a deficit based to asset based system, through the re-alignment to Co-Planning to Co-Serving to-Co-Learning Teams (C3 Teams). Through these teams cohesive and integrated instruction is supported with high expectations. </w:t>
            </w:r>
          </w:p>
        </w:tc>
        <w:tc>
          <w:tcPr>
            <w:tcW w:w="801" w:type="pct"/>
          </w:tcPr>
          <w:p w14:paraId="14A9FEA6" w14:textId="77777777" w:rsidR="00A00FEF" w:rsidRPr="00655766" w:rsidRDefault="00A00FEF" w:rsidP="00797AAB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pct"/>
          </w:tcPr>
          <w:p w14:paraId="445B9999" w14:textId="77777777" w:rsidR="00A00FEF" w:rsidRDefault="00A00FEF" w:rsidP="003C4138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215" w:type="pct"/>
          </w:tcPr>
          <w:p w14:paraId="09DFF44A" w14:textId="77777777" w:rsidR="00A00FEF" w:rsidRDefault="00A00FEF" w:rsidP="003C4138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A00FEF" w:rsidRPr="00655766" w14:paraId="28929B04" w14:textId="6FAB7194" w:rsidTr="00A00FEF">
        <w:tc>
          <w:tcPr>
            <w:tcW w:w="578" w:type="pct"/>
            <w:shd w:val="clear" w:color="auto" w:fill="D0CECE" w:themeFill="background2" w:themeFillShade="E6"/>
          </w:tcPr>
          <w:p w14:paraId="260A1DA2" w14:textId="77777777" w:rsidR="00A00FEF" w:rsidRPr="00655766" w:rsidRDefault="00A00FEF" w:rsidP="003C4138">
            <w:pPr>
              <w:spacing w:before="100" w:beforeAutospacing="1" w:after="210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65576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4. Fragments a student's day</w:t>
            </w:r>
          </w:p>
          <w:p w14:paraId="4633047A" w14:textId="77777777" w:rsidR="00A00FEF" w:rsidRPr="004550EB" w:rsidRDefault="00A00FEF" w:rsidP="003C413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D0CECE" w:themeFill="background2" w:themeFillShade="E6"/>
          </w:tcPr>
          <w:p w14:paraId="2E3F8A8C" w14:textId="299246E7" w:rsidR="00A00FEF" w:rsidRPr="004550EB" w:rsidRDefault="00A00FEF" w:rsidP="003C413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5576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 4. Students are proportionally represented in the core of teaching and learning.</w:t>
            </w:r>
          </w:p>
        </w:tc>
        <w:tc>
          <w:tcPr>
            <w:tcW w:w="888" w:type="pct"/>
            <w:shd w:val="clear" w:color="auto" w:fill="E7E6E6" w:themeFill="background2"/>
          </w:tcPr>
          <w:p w14:paraId="61A03820" w14:textId="1236059E" w:rsidR="00A00FEF" w:rsidRPr="00655766" w:rsidRDefault="00A00FEF" w:rsidP="003C41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Educators understand and advances the importance that all students are proportionally represented in core instruction as well as in all school environments and activities.</w:t>
            </w:r>
          </w:p>
        </w:tc>
        <w:tc>
          <w:tcPr>
            <w:tcW w:w="801" w:type="pct"/>
          </w:tcPr>
          <w:p w14:paraId="56B2E89C" w14:textId="65895C21" w:rsidR="00A00FEF" w:rsidRPr="00655766" w:rsidRDefault="00A00FEF" w:rsidP="003C41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pct"/>
          </w:tcPr>
          <w:p w14:paraId="37D7404E" w14:textId="77777777" w:rsidR="00A00FEF" w:rsidRPr="00655766" w:rsidRDefault="00A00FEF" w:rsidP="003C41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5" w:type="pct"/>
          </w:tcPr>
          <w:p w14:paraId="1F312B89" w14:textId="77777777" w:rsidR="00A00FEF" w:rsidRPr="00655766" w:rsidRDefault="00A00FEF" w:rsidP="003C41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0FEF" w:rsidRPr="00655766" w14:paraId="01C13103" w14:textId="3C5FE87B" w:rsidTr="00A00FEF">
        <w:tc>
          <w:tcPr>
            <w:tcW w:w="578" w:type="pct"/>
            <w:shd w:val="clear" w:color="auto" w:fill="D0CECE" w:themeFill="background2" w:themeFillShade="E6"/>
          </w:tcPr>
          <w:p w14:paraId="03C6AA50" w14:textId="5B1C622D" w:rsidR="00A00FEF" w:rsidRPr="004550EB" w:rsidRDefault="00A00FEF" w:rsidP="003C413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5576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5. Prevents the transfer of educator and student knowledge back to integrated environments</w:t>
            </w:r>
          </w:p>
        </w:tc>
        <w:tc>
          <w:tcPr>
            <w:tcW w:w="565" w:type="pct"/>
            <w:shd w:val="clear" w:color="auto" w:fill="D0CECE" w:themeFill="background2" w:themeFillShade="E6"/>
          </w:tcPr>
          <w:p w14:paraId="778072AF" w14:textId="2162418B" w:rsidR="00A00FEF" w:rsidRPr="004550EB" w:rsidRDefault="00A00FEF" w:rsidP="003C413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5576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5. Co-Plan to Co-Serve to Co-Learn (C3) Teams intentionally develop each other’s capacity.</w:t>
            </w:r>
          </w:p>
        </w:tc>
        <w:tc>
          <w:tcPr>
            <w:tcW w:w="888" w:type="pct"/>
            <w:shd w:val="clear" w:color="auto" w:fill="E7E6E6" w:themeFill="background2"/>
          </w:tcPr>
          <w:p w14:paraId="4A1D8DE4" w14:textId="4F8F80FD" w:rsidR="00A00FEF" w:rsidRPr="00655766" w:rsidRDefault="00A00FEF" w:rsidP="003C4138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All educators develop their expertise as members of C3 Teams.</w:t>
            </w:r>
          </w:p>
        </w:tc>
        <w:tc>
          <w:tcPr>
            <w:tcW w:w="801" w:type="pct"/>
          </w:tcPr>
          <w:p w14:paraId="15BCA98D" w14:textId="77777777" w:rsidR="00A00FEF" w:rsidRPr="00655766" w:rsidRDefault="00A00FEF" w:rsidP="00797AAB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pct"/>
          </w:tcPr>
          <w:p w14:paraId="1A506B4C" w14:textId="77777777" w:rsidR="00A00FEF" w:rsidRDefault="00A00FEF" w:rsidP="003C4138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215" w:type="pct"/>
          </w:tcPr>
          <w:p w14:paraId="46669BFD" w14:textId="77777777" w:rsidR="00A00FEF" w:rsidRDefault="00A00FEF" w:rsidP="003C4138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A00FEF" w:rsidRPr="00655766" w14:paraId="172C6192" w14:textId="697B0290" w:rsidTr="00A00FEF">
        <w:tc>
          <w:tcPr>
            <w:tcW w:w="578" w:type="pct"/>
            <w:shd w:val="clear" w:color="auto" w:fill="D0CECE" w:themeFill="background2" w:themeFillShade="E6"/>
          </w:tcPr>
          <w:p w14:paraId="27BC5068" w14:textId="6779778F" w:rsidR="00A00FEF" w:rsidRPr="004550EB" w:rsidRDefault="00A00FEF" w:rsidP="003C413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5576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br/>
              <w:t xml:space="preserve">6.  Provides less rigor -  Data does </w:t>
            </w:r>
            <w:r w:rsidRPr="0065576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lastRenderedPageBreak/>
              <w:t>not reflect helping.</w:t>
            </w:r>
          </w:p>
        </w:tc>
        <w:tc>
          <w:tcPr>
            <w:tcW w:w="565" w:type="pct"/>
            <w:shd w:val="clear" w:color="auto" w:fill="D0CECE" w:themeFill="background2" w:themeFillShade="E6"/>
          </w:tcPr>
          <w:p w14:paraId="7E655EE0" w14:textId="22A419E6" w:rsidR="00A00FEF" w:rsidRPr="004550EB" w:rsidRDefault="00A00FEF" w:rsidP="003C413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5576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6. Instruction is based on Identity Relevant Teaching and </w:t>
            </w:r>
            <w:r w:rsidRPr="0065576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lastRenderedPageBreak/>
              <w:t>Learning (IRTL) and created for each learner the first time the concept/skill is taught through heterogeneous small group instruction. </w:t>
            </w:r>
          </w:p>
        </w:tc>
        <w:tc>
          <w:tcPr>
            <w:tcW w:w="888" w:type="pct"/>
            <w:shd w:val="clear" w:color="auto" w:fill="E7E6E6" w:themeFill="background2"/>
          </w:tcPr>
          <w:p w14:paraId="299B8C41" w14:textId="29792486" w:rsidR="00A00FEF" w:rsidRPr="00655766" w:rsidRDefault="00A00FEF" w:rsidP="003C4138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All C3 Teams provide  identity relevant instruction that is based on research and practices through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heterogeneous small group instruction. Heterogeneous practices are used 80% or more of the student’s day to increase learning.</w:t>
            </w:r>
          </w:p>
        </w:tc>
        <w:tc>
          <w:tcPr>
            <w:tcW w:w="801" w:type="pct"/>
          </w:tcPr>
          <w:p w14:paraId="11F5A0F4" w14:textId="77777777" w:rsidR="00A00FEF" w:rsidRPr="00655766" w:rsidRDefault="00A00FEF" w:rsidP="00797AAB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pct"/>
          </w:tcPr>
          <w:p w14:paraId="65ADA105" w14:textId="77777777" w:rsidR="00A00FEF" w:rsidRDefault="00A00FEF" w:rsidP="003C4138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215" w:type="pct"/>
          </w:tcPr>
          <w:p w14:paraId="2F1E3D5C" w14:textId="77777777" w:rsidR="00A00FEF" w:rsidRDefault="00A00FEF" w:rsidP="003C4138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A00FEF" w:rsidRPr="00655766" w14:paraId="4D43B8ED" w14:textId="3624AD3E" w:rsidTr="00A00FEF">
        <w:tc>
          <w:tcPr>
            <w:tcW w:w="578" w:type="pct"/>
            <w:shd w:val="clear" w:color="auto" w:fill="D0CECE" w:themeFill="background2" w:themeFillShade="E6"/>
          </w:tcPr>
          <w:p w14:paraId="693D82CB" w14:textId="0EDA4AB0" w:rsidR="00A00FEF" w:rsidRPr="004550EB" w:rsidRDefault="00A00FEF" w:rsidP="003C413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5576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7. Policies often result in mixed messages</w:t>
            </w:r>
          </w:p>
        </w:tc>
        <w:tc>
          <w:tcPr>
            <w:tcW w:w="565" w:type="pct"/>
            <w:shd w:val="clear" w:color="auto" w:fill="D0CECE" w:themeFill="background2" w:themeFillShade="E6"/>
          </w:tcPr>
          <w:p w14:paraId="77CF89C6" w14:textId="29D1E3C8" w:rsidR="00A00FEF" w:rsidRPr="004550EB" w:rsidRDefault="00A00FEF" w:rsidP="003C413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5576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7. Policies and funding are aligned to these Equity Non-Negotiables.</w:t>
            </w:r>
          </w:p>
        </w:tc>
        <w:tc>
          <w:tcPr>
            <w:tcW w:w="888" w:type="pct"/>
            <w:shd w:val="clear" w:color="auto" w:fill="E7E6E6" w:themeFill="background2"/>
          </w:tcPr>
          <w:p w14:paraId="3F4E9C70" w14:textId="10602AE1" w:rsidR="00A00FEF" w:rsidRPr="00655766" w:rsidRDefault="00A00FEF" w:rsidP="003C4138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All school policies and procedures and funding are cross-checked with the above equity non-negotiables to sustain the work of the system from a deficit based to asset based system.  Specifically, if funding was being used for professional development that supported low segregated ability grouping, such expenditures would be challenged. </w:t>
            </w:r>
          </w:p>
        </w:tc>
        <w:tc>
          <w:tcPr>
            <w:tcW w:w="801" w:type="pct"/>
          </w:tcPr>
          <w:p w14:paraId="6FE55D93" w14:textId="77777777" w:rsidR="00A00FEF" w:rsidRPr="00655766" w:rsidRDefault="00A00FEF" w:rsidP="00797AAB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pct"/>
          </w:tcPr>
          <w:p w14:paraId="1CEDC3CD" w14:textId="77777777" w:rsidR="00A00FEF" w:rsidRPr="00FA35AA" w:rsidRDefault="00A00FEF" w:rsidP="00FA35AA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5" w:type="pct"/>
          </w:tcPr>
          <w:p w14:paraId="3816ED8E" w14:textId="77777777" w:rsidR="00A00FEF" w:rsidRPr="00FA35AA" w:rsidRDefault="00A00FEF" w:rsidP="00FA35AA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D220D07" w14:textId="3156BF7E" w:rsidR="00573D6C" w:rsidRPr="00655766" w:rsidRDefault="00573D6C">
      <w:pPr>
        <w:rPr>
          <w:rFonts w:asciiTheme="majorHAnsi" w:hAnsiTheme="majorHAnsi" w:cstheme="majorHAnsi"/>
          <w:sz w:val="22"/>
          <w:szCs w:val="22"/>
        </w:rPr>
      </w:pPr>
    </w:p>
    <w:p w14:paraId="67FD1B2A" w14:textId="77777777" w:rsidR="00655766" w:rsidRPr="00655766" w:rsidRDefault="00655766">
      <w:pPr>
        <w:rPr>
          <w:rFonts w:asciiTheme="majorHAnsi" w:hAnsiTheme="majorHAnsi" w:cstheme="majorHAnsi"/>
          <w:sz w:val="22"/>
          <w:szCs w:val="22"/>
        </w:rPr>
      </w:pPr>
    </w:p>
    <w:p w14:paraId="4AB63FDB" w14:textId="77777777" w:rsidR="00655766" w:rsidRPr="00655766" w:rsidRDefault="00655766">
      <w:pPr>
        <w:rPr>
          <w:rFonts w:asciiTheme="majorHAnsi" w:hAnsiTheme="majorHAnsi" w:cstheme="majorHAnsi"/>
          <w:sz w:val="22"/>
          <w:szCs w:val="22"/>
        </w:rPr>
      </w:pPr>
    </w:p>
    <w:sectPr w:rsidR="00655766" w:rsidRPr="00655766" w:rsidSect="00D90B91">
      <w:headerReference w:type="default" r:id="rId8"/>
      <w:footerReference w:type="default" r:id="rId9"/>
      <w:pgSz w:w="15840" w:h="12240" w:orient="landscape"/>
      <w:pgMar w:top="72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E18C" w14:textId="77777777" w:rsidR="00AA60E7" w:rsidRDefault="00AA60E7" w:rsidP="00BB02D1">
      <w:r>
        <w:separator/>
      </w:r>
    </w:p>
  </w:endnote>
  <w:endnote w:type="continuationSeparator" w:id="0">
    <w:p w14:paraId="73AEF9A4" w14:textId="77777777" w:rsidR="00AA60E7" w:rsidRDefault="00AA60E7" w:rsidP="00BB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1FA5" w14:textId="7C62A1C0" w:rsidR="00BB02D1" w:rsidRPr="001B33B4" w:rsidRDefault="00BB02D1">
    <w:pPr>
      <w:pStyle w:val="Footer"/>
      <w:rPr>
        <w:sz w:val="16"/>
        <w:szCs w:val="16"/>
      </w:rPr>
    </w:pPr>
    <w:r w:rsidRPr="001B33B4">
      <w:rPr>
        <w:sz w:val="16"/>
        <w:szCs w:val="16"/>
      </w:rPr>
      <w:t>Adapted from</w:t>
    </w:r>
    <w:r w:rsidR="001B33B4" w:rsidRPr="001B33B4">
      <w:rPr>
        <w:sz w:val="16"/>
        <w:szCs w:val="16"/>
      </w:rPr>
      <w:t xml:space="preserve"> the</w:t>
    </w:r>
    <w:r w:rsidRPr="001B33B4">
      <w:rPr>
        <w:sz w:val="16"/>
        <w:szCs w:val="16"/>
      </w:rPr>
      <w:t xml:space="preserve"> Middleton Cross-Plains Area School District Process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0953" w14:textId="77777777" w:rsidR="00AA60E7" w:rsidRDefault="00AA60E7" w:rsidP="00BB02D1">
      <w:r>
        <w:separator/>
      </w:r>
    </w:p>
  </w:footnote>
  <w:footnote w:type="continuationSeparator" w:id="0">
    <w:p w14:paraId="76998564" w14:textId="77777777" w:rsidR="00AA60E7" w:rsidRDefault="00AA60E7" w:rsidP="00BB0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950C" w14:textId="3BB8B2C3" w:rsidR="001B33B4" w:rsidRPr="001B33B4" w:rsidRDefault="001B33B4" w:rsidP="001B33B4">
    <w:pPr>
      <w:pStyle w:val="Footer"/>
      <w:ind w:right="360"/>
      <w:rPr>
        <w:rFonts w:asciiTheme="majorHAnsi" w:hAnsiTheme="majorHAnsi" w:cstheme="majorHAnsi"/>
        <w:sz w:val="16"/>
        <w:szCs w:val="16"/>
      </w:rPr>
    </w:pPr>
    <w:r w:rsidRPr="00D0076B">
      <w:rPr>
        <w:rFonts w:asciiTheme="majorHAnsi" w:hAnsiTheme="majorHAnsi" w:cstheme="majorHAnsi"/>
        <w:sz w:val="16"/>
        <w:szCs w:val="16"/>
      </w:rPr>
      <w:t>© 2022 Elise M. Frattura and Colleen A. Capper. All rights reserved. Please do not reproduce, modify, or distribute this work without written consent from the authors. Please email info@icsequity.org to obtain such permission.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199"/>
    <w:multiLevelType w:val="multilevel"/>
    <w:tmpl w:val="3996A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90687"/>
    <w:multiLevelType w:val="multilevel"/>
    <w:tmpl w:val="3996A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F4B92"/>
    <w:multiLevelType w:val="hybridMultilevel"/>
    <w:tmpl w:val="F69A0384"/>
    <w:lvl w:ilvl="0" w:tplc="A928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D636A"/>
    <w:multiLevelType w:val="multilevel"/>
    <w:tmpl w:val="3996A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47862"/>
    <w:multiLevelType w:val="multilevel"/>
    <w:tmpl w:val="3996A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72812"/>
    <w:multiLevelType w:val="multilevel"/>
    <w:tmpl w:val="3996A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7512736">
    <w:abstractNumId w:val="1"/>
  </w:num>
  <w:num w:numId="2" w16cid:durableId="1005940409">
    <w:abstractNumId w:val="0"/>
  </w:num>
  <w:num w:numId="3" w16cid:durableId="542014120">
    <w:abstractNumId w:val="4"/>
  </w:num>
  <w:num w:numId="4" w16cid:durableId="265696979">
    <w:abstractNumId w:val="3"/>
  </w:num>
  <w:num w:numId="5" w16cid:durableId="1059939233">
    <w:abstractNumId w:val="5"/>
  </w:num>
  <w:num w:numId="6" w16cid:durableId="1038773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66"/>
    <w:rsid w:val="00184A70"/>
    <w:rsid w:val="001939C3"/>
    <w:rsid w:val="001B33B4"/>
    <w:rsid w:val="003C4138"/>
    <w:rsid w:val="004550EB"/>
    <w:rsid w:val="00573D6C"/>
    <w:rsid w:val="00615830"/>
    <w:rsid w:val="00655766"/>
    <w:rsid w:val="00797AAB"/>
    <w:rsid w:val="007C7173"/>
    <w:rsid w:val="008B061E"/>
    <w:rsid w:val="00972881"/>
    <w:rsid w:val="00A00FEF"/>
    <w:rsid w:val="00AA60E7"/>
    <w:rsid w:val="00BB02D1"/>
    <w:rsid w:val="00C15A13"/>
    <w:rsid w:val="00D1716F"/>
    <w:rsid w:val="00D90B91"/>
    <w:rsid w:val="00F07693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C4BC"/>
  <w15:chartTrackingRefBased/>
  <w15:docId w15:val="{EBCD3615-7CDE-BD43-A3E0-D28702F9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57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55766"/>
    <w:rPr>
      <w:b/>
      <w:bCs/>
    </w:rPr>
  </w:style>
  <w:style w:type="paragraph" w:styleId="ListParagraph">
    <w:name w:val="List Paragraph"/>
    <w:basedOn w:val="Normal"/>
    <w:uiPriority w:val="34"/>
    <w:qFormat/>
    <w:rsid w:val="00FA3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2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D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0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2D1"/>
  </w:style>
  <w:style w:type="paragraph" w:styleId="Footer">
    <w:name w:val="footer"/>
    <w:basedOn w:val="Normal"/>
    <w:link w:val="FooterChar"/>
    <w:uiPriority w:val="99"/>
    <w:unhideWhenUsed/>
    <w:rsid w:val="00BB0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frattura@uwm.edu</dc:creator>
  <cp:keywords/>
  <dc:description/>
  <cp:lastModifiedBy>ICS Equity</cp:lastModifiedBy>
  <cp:revision>2</cp:revision>
  <dcterms:created xsi:type="dcterms:W3CDTF">2022-05-03T16:59:00Z</dcterms:created>
  <dcterms:modified xsi:type="dcterms:W3CDTF">2022-05-03T16:59:00Z</dcterms:modified>
</cp:coreProperties>
</file>